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5DA" w:rsidRDefault="001E45D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E45DA" w:rsidRPr="00B519DB" w:rsidRDefault="00B519D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пайке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наплавке</w:t>
      </w:r>
    </w:p>
    <w:p w:rsidR="001E45DA" w:rsidRPr="00B519DB" w:rsidRDefault="001E45D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наплавке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1E45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212, 214, 221, 225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Федерац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ии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четвер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иодические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ержденные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1E45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наплавке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ческое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изводственной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квартал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карточке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сварщика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созданной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назначенной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сварщиков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оформлены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протоколом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проставляется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скрепляется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переведенные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совместное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требуемая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сочетать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изолирующая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удобным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наплавке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Газосварщики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-2,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светофильтров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-3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расходом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750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-7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2500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-12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2500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Вспомогательным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сварщ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-14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светофильтрами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-1800.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единичных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проникновения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сжиженные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подвальных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наплавки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работающи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взрывчатые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1,5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3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газоразборных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относятс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противоположную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источникам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ановки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ширм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3.1.19.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пайке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припои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кадмий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3.1.20.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огорожены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прикосновен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сделаны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3.1.21.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поступающий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очищен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свинцовой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предотвращени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испарением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3.1.22.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окрашенного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загрунтованного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очищаемой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3.1.23.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отведенн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перевязочный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кровоостанавливающий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бинты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настойка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нашатырный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спринцовка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мазь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3.1.24.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рядке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ОАО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Альфа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расплавленный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ультрафиолетовое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инфракрасное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уровни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подъемные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45DA" w:rsidRPr="00B519DB" w:rsidRDefault="00B519D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45DA" w:rsidRPr="00B519DB" w:rsidRDefault="00B519D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582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22.10.2008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осмываемыми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смывающие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выдачи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дравсоцразвития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17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2010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1122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тветствия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предприяти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(71-16)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1E45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мешать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единений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канале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инжекторной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предохранительных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</w:t>
      </w:r>
      <w:r>
        <w:rPr>
          <w:rFonts w:hAnsi="Times New Roman" w:cs="Times New Roman"/>
          <w:color w:val="000000"/>
          <w:sz w:val="24"/>
          <w:szCs w:val="24"/>
        </w:rPr>
        <w:t>йств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подводки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газорезательной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пропуск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газоразборных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справностей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газоразборные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провентилировано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подсоса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прочистить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мундштуки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разъемных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паяных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1E45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змов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иинструментов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подводки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колпака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входной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штуцер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накидную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уплотняющей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входном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роизводить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накидной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торцевым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неискрящего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обычные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поджечь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перекрытие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отметок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клапане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свидетельствующих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заводская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ушена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резьбы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штуцеров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присоединительных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входном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фильтров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входных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штуцерах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тройников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наплавки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1.11.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присоединительных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ниппелях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хомутики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обвязывать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отожженной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вязальной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ниппе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Газосварщикам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газосварочны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газосварочные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дукторы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неопломбированные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аналоговые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стрелочные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штамп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госповерителя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предельному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циферблате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прикреплять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пластину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окрашенную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прилегающую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стеклу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погрешности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45DA" w:rsidRPr="00B519DB" w:rsidRDefault="00B519D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дефектные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обматывать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изоляц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ионной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отрезков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выделяющихся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газоразборных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размещенных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Default="00B519D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3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Default="00B519D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1,5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несгораемого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поддерживаться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выключенной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заменяется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незамерзающей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комплектоваться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бутана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газоразборный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обслуживаемую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дним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ограничивается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пропускной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Подач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цеховой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прикрепляются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хомутами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оборудуются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навесами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предохраняющими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единичных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пламегасящие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пол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площадку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соблюдением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45DA" w:rsidRPr="00B519DB" w:rsidRDefault="00B519D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башмаков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перекатывание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прокладках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сжиженными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растворенными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бутан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45DA" w:rsidRPr="00B519DB" w:rsidRDefault="00B519DB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запасного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наполненного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большем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организуется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рамповое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промежуточный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рампы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расходовать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(0,5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пропускающими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искробезопасном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накидную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торцевой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искробезопасном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обычных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енового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сальник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подтягивание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сальников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клапан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сплющивание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скручивание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перегибание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передавливание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вырезаются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соединяются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ниппелями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соединяют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латунными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ниппелями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Минимальная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стыкуемого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стыков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контролируются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присоединительных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ниппелях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хомуты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высоких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испытанию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локальным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нормативным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актом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пающий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свинцовой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испарениями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окрашенного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загрунтованно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очищаемой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приоткр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ывается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1/4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1/2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кратковременной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зажигается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приостанавливается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нтиля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охлаждается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проветрива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сварочное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отключается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отсоединяются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аяльных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лампах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снимается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газоразборных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нажимные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винты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выворачиваются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пружин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водяном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зажжено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водяного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одводящих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охлаждается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ведре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519DB">
        <w:rPr>
          <w:lang w:val="ru-RU"/>
        </w:rPr>
        <w:br/>
      </w:r>
      <w:r w:rsidRPr="00B519DB">
        <w:rPr>
          <w:lang w:val="ru-RU"/>
        </w:rPr>
        <w:br/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делает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иостанавливается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котлы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цистерны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заполненных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зрывоопасными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отрицательной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ментацией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подвалах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котлах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цистернах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отсеках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овышенной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иллюминаторов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горловин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45DA" w:rsidRPr="00B519DB" w:rsidRDefault="00B519DB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непрерывная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загрязненного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верхне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ступного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сжаты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бензорезы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резаки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5.2.19.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новка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вентилируемых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проветриваемых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ограждаются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забора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компрессорами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вентиляторами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5.2.20.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огнеопасно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", "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", "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5.2.21.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докумен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5.2.22.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раскаленными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искрообразующего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завышенной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грануляции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газосборнике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форсировать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ацетиленового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генератора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газоподводящих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сварочного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промасленной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газоподводящие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заламывать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газоподводящие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замасленными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газоподводящими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шлангами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эффективную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теплозащиту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бутановые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5.2.23.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газопламе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карбид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ацетиленовом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выработан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Известковый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удаляемый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выгружается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приспособленную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сливается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иловую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5.2.24.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5.2.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негорючее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5.2.26.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курени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вывешиваются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5.2.27.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45DA" w:rsidRPr="00B519DB" w:rsidRDefault="00B519DB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нажимные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(71-26)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спецобув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испыта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1E45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Default="00B519DB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утечка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газа</w:t>
      </w:r>
    </w:p>
    <w:p w:rsidR="001E45DA" w:rsidRDefault="00B519DB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</w:t>
      </w:r>
      <w:r>
        <w:rPr>
          <w:rFonts w:hAnsi="Times New Roman" w:cs="Times New Roman"/>
          <w:color w:val="000000"/>
          <w:sz w:val="24"/>
          <w:szCs w:val="24"/>
        </w:rPr>
        <w:t>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</w:p>
    <w:p w:rsidR="001E45DA" w:rsidRDefault="00B519DB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возгорание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подсосе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накидную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прочистить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сопло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инжектора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мундштука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смесительную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отвернуть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инжектор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оборота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Возобновление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газоне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проницаемость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вентилирование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пропуске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сальниковые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инжектора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налипших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брызгах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регулировке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гашении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происходят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хлопки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прочистить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инжектор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мелкой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наждачной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шкурк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налипший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мундштука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затвора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зогрелся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мундштук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накидную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мундштук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администрацию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E45DA" w:rsidRPr="00B519DB" w:rsidRDefault="00B519DB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рямой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родавливания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рвотны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плавных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механиче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сложе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1E45DA" w:rsidRPr="00B519DB" w:rsidRDefault="00B519DB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Ампутированный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1E45DA" w:rsidRPr="00B519DB" w:rsidRDefault="00B519DB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заф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иксировать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ломах</w:t>
      </w:r>
    </w:p>
    <w:p w:rsidR="001E45DA" w:rsidRPr="00B519DB" w:rsidRDefault="00B519D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адывать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E45DA" w:rsidRPr="00B519DB" w:rsidRDefault="00B519DB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зафиксирова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6.4.8.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</w:p>
    <w:p w:rsidR="001E45DA" w:rsidRPr="00B519DB" w:rsidRDefault="00B519DB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6.4.9.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1E45DA" w:rsidRPr="00B519DB" w:rsidRDefault="00B519DB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1E45DA" w:rsidRPr="00B519DB" w:rsidRDefault="00B519D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ставов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1E45DA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Pr="00B519DB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узыри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равму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Default="00B519DB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Default="00B519DB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1E45DA" w:rsidRPr="00B519DB" w:rsidRDefault="00B519DB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астительные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ткрыв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екратить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оковедущих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ссатижи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Pr="00B519DB" w:rsidRDefault="00B519DB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1E45DA" w:rsidRPr="00B519DB" w:rsidRDefault="00B519DB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ознание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Pr="00B519DB" w:rsidRDefault="00B519DB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рохладное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перевернут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эпилептическом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numPr>
          <w:ilvl w:val="0"/>
          <w:numId w:val="3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45DA" w:rsidRDefault="00B519DB">
      <w:pPr>
        <w:numPr>
          <w:ilvl w:val="0"/>
          <w:numId w:val="3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.16.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ебуется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восстан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овления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получе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ядовитыми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1E45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нажимные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горелками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45DA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сменн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519D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https://1otruda.ru/#/document/118/109284/</w:t>
      </w:r>
    </w:p>
    <w:p w:rsidR="00B519DB" w:rsidRPr="00B519DB" w:rsidRDefault="00B519D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45DA" w:rsidRPr="00B519DB" w:rsidRDefault="001E45D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E45DA" w:rsidRPr="00B519DB" w:rsidSect="001E45D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E24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22A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0421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863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E14A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2B18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D326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3222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776D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B655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A148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E54D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5F0A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980B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9835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FD7B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D84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D83C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010E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B54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A06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2A21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380C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D92E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DD7C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024D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DF06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0D53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936F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6355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A356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9"/>
  </w:num>
  <w:num w:numId="3">
    <w:abstractNumId w:val="3"/>
  </w:num>
  <w:num w:numId="4">
    <w:abstractNumId w:val="10"/>
  </w:num>
  <w:num w:numId="5">
    <w:abstractNumId w:val="4"/>
  </w:num>
  <w:num w:numId="6">
    <w:abstractNumId w:val="17"/>
  </w:num>
  <w:num w:numId="7">
    <w:abstractNumId w:val="20"/>
  </w:num>
  <w:num w:numId="8">
    <w:abstractNumId w:val="15"/>
  </w:num>
  <w:num w:numId="9">
    <w:abstractNumId w:val="30"/>
  </w:num>
  <w:num w:numId="10">
    <w:abstractNumId w:val="27"/>
  </w:num>
  <w:num w:numId="11">
    <w:abstractNumId w:val="22"/>
  </w:num>
  <w:num w:numId="12">
    <w:abstractNumId w:val="0"/>
  </w:num>
  <w:num w:numId="13">
    <w:abstractNumId w:val="11"/>
  </w:num>
  <w:num w:numId="14">
    <w:abstractNumId w:val="28"/>
  </w:num>
  <w:num w:numId="15">
    <w:abstractNumId w:val="14"/>
  </w:num>
  <w:num w:numId="16">
    <w:abstractNumId w:val="23"/>
  </w:num>
  <w:num w:numId="17">
    <w:abstractNumId w:val="21"/>
  </w:num>
  <w:num w:numId="18">
    <w:abstractNumId w:val="19"/>
  </w:num>
  <w:num w:numId="19">
    <w:abstractNumId w:val="1"/>
  </w:num>
  <w:num w:numId="20">
    <w:abstractNumId w:val="12"/>
  </w:num>
  <w:num w:numId="21">
    <w:abstractNumId w:val="2"/>
  </w:num>
  <w:num w:numId="22">
    <w:abstractNumId w:val="18"/>
  </w:num>
  <w:num w:numId="23">
    <w:abstractNumId w:val="25"/>
  </w:num>
  <w:num w:numId="24">
    <w:abstractNumId w:val="13"/>
  </w:num>
  <w:num w:numId="25">
    <w:abstractNumId w:val="8"/>
  </w:num>
  <w:num w:numId="26">
    <w:abstractNumId w:val="5"/>
  </w:num>
  <w:num w:numId="27">
    <w:abstractNumId w:val="26"/>
  </w:num>
  <w:num w:numId="28">
    <w:abstractNumId w:val="16"/>
  </w:num>
  <w:num w:numId="29">
    <w:abstractNumId w:val="9"/>
  </w:num>
  <w:num w:numId="30">
    <w:abstractNumId w:val="2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E45DA"/>
    <w:rsid w:val="002D33B1"/>
    <w:rsid w:val="002D3591"/>
    <w:rsid w:val="003514A0"/>
    <w:rsid w:val="004F7E17"/>
    <w:rsid w:val="005A05CE"/>
    <w:rsid w:val="00653AF6"/>
    <w:rsid w:val="00B519D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9285</Words>
  <Characters>52925</Characters>
  <Application>Microsoft Office Word</Application>
  <DocSecurity>0</DocSecurity>
  <Lines>441</Lines>
  <Paragraphs>124</Paragraphs>
  <ScaleCrop>false</ScaleCrop>
  <Company/>
  <LinksUpToDate>false</LinksUpToDate>
  <CharactersWithSpaces>62086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2022-11-21T08:11:00Z</dcterms:modified>
</cp:coreProperties>
</file>